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AB2B2E">
      <w:pPr>
        <w:framePr w:w="2864" w:h="2165" w:hRule="exact" w:wrap="around" w:vAnchor="page" w:hAnchor="page" w:x="8501" w:y="2612" w:anchorLock="1"/>
        <w:jc w:val="both"/>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4B06C7" w:rsidRPr="00D37D34">
        <w:rPr>
          <w:rFonts w:ascii="MiloOT-Medi" w:hAnsi="MiloOT-Medi" w:cstheme="minorHAnsi"/>
          <w:color w:val="00AB96"/>
          <w:sz w:val="16"/>
          <w:szCs w:val="16"/>
        </w:rPr>
      </w:r>
      <w:r w:rsidR="00ED72E6">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AB2B2E">
      <w:pPr>
        <w:framePr w:w="2864" w:h="2165" w:hRule="exact" w:wrap="around" w:vAnchor="page" w:hAnchor="page" w:x="8501" w:y="2612" w:anchorLock="1"/>
        <w:jc w:val="both"/>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4B06C7" w:rsidRPr="00D37D34">
        <w:rPr>
          <w:rFonts w:ascii="MiloOT-Medi" w:hAnsi="MiloOT-Medi"/>
          <w:color w:val="002F5D"/>
          <w:sz w:val="16"/>
          <w:szCs w:val="16"/>
        </w:rPr>
      </w:r>
      <w:r w:rsidR="00ED72E6">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AB2B2E">
      <w:pPr>
        <w:framePr w:w="2864" w:h="2165" w:hRule="exact" w:wrap="around" w:vAnchor="page" w:hAnchor="page" w:x="8501" w:y="2612" w:anchorLock="1"/>
        <w:jc w:val="both"/>
        <w:rPr>
          <w:rFonts w:ascii="MiloOT-Light" w:hAnsi="MiloOT-Light"/>
          <w:color w:val="002F5D"/>
          <w:sz w:val="16"/>
          <w:szCs w:val="16"/>
        </w:rPr>
      </w:pPr>
    </w:p>
    <w:p w:rsidR="00567C1E" w:rsidRPr="00EF412A" w:rsidRDefault="00596431" w:rsidP="00AB2B2E">
      <w:pPr>
        <w:framePr w:w="2864" w:h="2165" w:hRule="exact" w:wrap="around" w:vAnchor="page" w:hAnchor="page" w:x="8501" w:y="2612" w:anchorLock="1"/>
        <w:jc w:val="both"/>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4B06C7" w:rsidRPr="00EF412A">
        <w:rPr>
          <w:rFonts w:ascii="MiloOT-Light" w:hAnsi="MiloOT-Light"/>
          <w:color w:val="002F5D"/>
          <w:sz w:val="16"/>
          <w:szCs w:val="16"/>
        </w:rPr>
      </w:r>
      <w:r w:rsidR="00ED72E6">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AB2B2E">
      <w:pPr>
        <w:framePr w:w="2864" w:h="2165" w:hRule="exact" w:wrap="around" w:vAnchor="page" w:hAnchor="page" w:x="8501" w:y="2612" w:anchorLock="1"/>
        <w:jc w:val="both"/>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4B06C7" w:rsidRPr="00EF412A">
        <w:rPr>
          <w:rFonts w:ascii="MiloOT-Light" w:hAnsi="MiloOT-Light"/>
          <w:color w:val="002F5D"/>
          <w:sz w:val="16"/>
          <w:szCs w:val="16"/>
        </w:rPr>
      </w:r>
      <w:r w:rsidR="00ED72E6">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AB2B2E">
      <w:pPr>
        <w:framePr w:w="2864" w:h="2165" w:hRule="exact" w:wrap="around" w:vAnchor="page" w:hAnchor="page" w:x="8501" w:y="2612" w:anchorLock="1"/>
        <w:jc w:val="both"/>
        <w:rPr>
          <w:rFonts w:ascii="MiloOT-Light" w:hAnsi="MiloOT-Light"/>
          <w:color w:val="002F5D"/>
          <w:sz w:val="16"/>
          <w:szCs w:val="16"/>
        </w:rPr>
      </w:pPr>
    </w:p>
    <w:p w:rsidR="00567C1E" w:rsidRPr="00EF412A" w:rsidRDefault="00567C1E" w:rsidP="00AB2B2E">
      <w:pPr>
        <w:framePr w:w="2864" w:h="2165" w:hRule="exact" w:wrap="around" w:vAnchor="page" w:hAnchor="page" w:x="8501" w:y="2612" w:anchorLock="1"/>
        <w:tabs>
          <w:tab w:val="left" w:pos="312"/>
        </w:tabs>
        <w:jc w:val="both"/>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4B06C7" w:rsidRPr="00EF412A">
        <w:rPr>
          <w:rFonts w:ascii="MiloOT-Light" w:hAnsi="MiloOT-Light"/>
          <w:color w:val="002F5D"/>
          <w:sz w:val="16"/>
          <w:szCs w:val="16"/>
        </w:rPr>
      </w:r>
      <w:r w:rsidR="00ED72E6">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AB2B2E">
      <w:pPr>
        <w:framePr w:w="2864" w:h="2165" w:hRule="exact" w:wrap="around" w:vAnchor="page" w:hAnchor="page" w:x="8501" w:y="2612" w:anchorLock="1"/>
        <w:tabs>
          <w:tab w:val="left" w:pos="312"/>
        </w:tabs>
        <w:jc w:val="both"/>
        <w:rPr>
          <w:rFonts w:ascii="MiloOT-Light" w:hAnsi="MiloOT-Light"/>
          <w:color w:val="002F5D"/>
          <w:sz w:val="16"/>
          <w:szCs w:val="16"/>
        </w:rPr>
      </w:pPr>
    </w:p>
    <w:p w:rsidR="00567C1E" w:rsidRPr="00EF412A" w:rsidRDefault="00596431" w:rsidP="00AB2B2E">
      <w:pPr>
        <w:framePr w:w="2864" w:h="2165" w:hRule="exact" w:wrap="around" w:vAnchor="page" w:hAnchor="page" w:x="8501" w:y="2612" w:anchorLock="1"/>
        <w:jc w:val="both"/>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4B06C7">
        <w:rPr>
          <w:rFonts w:ascii="MiloOT-Light" w:hAnsi="MiloOT-Light"/>
          <w:color w:val="002F5D"/>
          <w:sz w:val="16"/>
          <w:szCs w:val="16"/>
        </w:rPr>
      </w:r>
      <w:r w:rsidR="00ED72E6">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4B06C7" w:rsidP="00AB2B2E">
      <w:pPr>
        <w:framePr w:w="2864" w:h="2165" w:hRule="exact" w:wrap="around" w:vAnchor="page" w:hAnchor="page" w:x="8501" w:y="2612" w:anchorLock="1"/>
        <w:jc w:val="both"/>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AB2B2E">
      <w:pPr>
        <w:framePr w:w="2864" w:h="2165" w:hRule="exact" w:wrap="around" w:vAnchor="page" w:hAnchor="page" w:x="8501" w:y="2612" w:anchorLock="1"/>
        <w:jc w:val="both"/>
        <w:rPr>
          <w:rFonts w:ascii="MiloOT-Light" w:hAnsi="MiloOT-Light"/>
          <w:color w:val="002F5D"/>
          <w:sz w:val="16"/>
          <w:szCs w:val="16"/>
        </w:rPr>
      </w:pPr>
    </w:p>
    <w:p w:rsidR="001B3813" w:rsidRPr="00517BAC" w:rsidRDefault="004B06C7" w:rsidP="00AB2B2E">
      <w:pPr>
        <w:framePr w:w="1814" w:h="2405" w:hRule="exact" w:wrap="around" w:vAnchor="page" w:hAnchor="page" w:x="9753" w:y="1532"/>
        <w:jc w:val="both"/>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AB2B2E">
      <w:pPr>
        <w:jc w:val="both"/>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AB2B2E">
      <w:pPr>
        <w:jc w:val="both"/>
        <w:rPr>
          <w:rFonts w:ascii="MiloOT-Medi" w:hAnsi="MiloOT-Medi"/>
          <w:b/>
          <w:sz w:val="16"/>
          <w:szCs w:val="16"/>
        </w:rPr>
      </w:pPr>
    </w:p>
    <w:p w:rsidR="00567C1E" w:rsidRDefault="00567C1E" w:rsidP="00AB2B2E">
      <w:pPr>
        <w:jc w:val="both"/>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AB2B2E">
      <w:pPr>
        <w:spacing w:after="120" w:line="280" w:lineRule="exact"/>
        <w:ind w:right="-29"/>
        <w:jc w:val="both"/>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ED72E6">
        <w:rPr>
          <w:noProof/>
          <w:sz w:val="21"/>
          <w:szCs w:val="21"/>
        </w:rPr>
        <w:t>1. Dezember 2022</w:t>
      </w:r>
      <w:r w:rsidRPr="00BC3231">
        <w:rPr>
          <w:sz w:val="21"/>
          <w:szCs w:val="21"/>
        </w:rPr>
        <w:fldChar w:fldCharType="end"/>
      </w:r>
    </w:p>
    <w:p w:rsidR="00567C1E" w:rsidRDefault="00567C1E" w:rsidP="00AB2B2E">
      <w:pPr>
        <w:jc w:val="both"/>
        <w:rPr>
          <w:b/>
        </w:rPr>
      </w:pPr>
    </w:p>
    <w:p w:rsidR="00567C1E" w:rsidRDefault="00567C1E" w:rsidP="00AB2B2E">
      <w:pPr>
        <w:jc w:val="both"/>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D944BC" w:rsidP="00AB2B2E">
      <w:pPr>
        <w:spacing w:after="120" w:line="300" w:lineRule="exact"/>
        <w:ind w:right="-28"/>
        <w:jc w:val="both"/>
        <w:rPr>
          <w:b/>
          <w:sz w:val="24"/>
          <w:szCs w:val="21"/>
        </w:rPr>
      </w:pPr>
      <w:bookmarkStart w:id="4" w:name="Anschrift"/>
      <w:bookmarkStart w:id="5" w:name="_GoBack"/>
      <w:bookmarkEnd w:id="4"/>
      <w:r>
        <w:rPr>
          <w:b/>
          <w:sz w:val="24"/>
          <w:szCs w:val="21"/>
        </w:rPr>
        <w:lastRenderedPageBreak/>
        <w:t xml:space="preserve">Green Deal: Kreislaufwirtschaft </w:t>
      </w:r>
      <w:r w:rsidR="00AB2B2E">
        <w:rPr>
          <w:b/>
          <w:sz w:val="24"/>
          <w:szCs w:val="21"/>
        </w:rPr>
        <w:t xml:space="preserve">über die gesamte Wertschöpfungskette </w:t>
      </w:r>
      <w:r>
        <w:rPr>
          <w:b/>
          <w:sz w:val="24"/>
          <w:szCs w:val="21"/>
        </w:rPr>
        <w:t>konkret und praktikabel ausgestallten</w:t>
      </w:r>
      <w:bookmarkEnd w:id="5"/>
    </w:p>
    <w:p w:rsidR="00DD75CD" w:rsidRPr="00D71725" w:rsidRDefault="00D71725" w:rsidP="00AB2B2E">
      <w:pPr>
        <w:spacing w:after="240" w:line="300" w:lineRule="exact"/>
        <w:ind w:right="-28"/>
        <w:jc w:val="both"/>
        <w:rPr>
          <w:b/>
          <w:sz w:val="21"/>
          <w:szCs w:val="21"/>
        </w:rPr>
      </w:pPr>
      <w:r w:rsidRPr="00D71725">
        <w:rPr>
          <w:b/>
          <w:sz w:val="21"/>
          <w:szCs w:val="21"/>
        </w:rPr>
        <w:t xml:space="preserve">Die Europäische Kommission hat am 30. November 2022 neue EU-weite Vorschriften für Verpackungen vorgeschlagen, um diese ständig wachsende Abfallquelle anzugehen. Im Durchschnitt fallen </w:t>
      </w:r>
      <w:r w:rsidR="000549CF">
        <w:rPr>
          <w:b/>
          <w:sz w:val="21"/>
          <w:szCs w:val="21"/>
        </w:rPr>
        <w:t xml:space="preserve">aktuell </w:t>
      </w:r>
      <w:r w:rsidRPr="00D71725">
        <w:rPr>
          <w:b/>
          <w:sz w:val="21"/>
          <w:szCs w:val="21"/>
        </w:rPr>
        <w:t>in Europa jährlich fast 180 kg Verpackungsmüll pro Kopf an.</w:t>
      </w:r>
    </w:p>
    <w:p w:rsidR="004B06C7" w:rsidRPr="004B06C7" w:rsidRDefault="00D71725" w:rsidP="00AB2B2E">
      <w:pPr>
        <w:spacing w:before="120" w:line="360" w:lineRule="auto"/>
        <w:ind w:right="-28"/>
        <w:jc w:val="both"/>
        <w:rPr>
          <w:sz w:val="21"/>
          <w:szCs w:val="21"/>
        </w:rPr>
      </w:pPr>
      <w:r w:rsidRPr="00D71725">
        <w:rPr>
          <w:sz w:val="21"/>
          <w:szCs w:val="21"/>
        </w:rPr>
        <w:t>Für Verpackungsmaterialien werden die meisten Pr</w:t>
      </w:r>
      <w:r w:rsidR="00CA7324">
        <w:rPr>
          <w:sz w:val="21"/>
          <w:szCs w:val="21"/>
        </w:rPr>
        <w:t>imärrohstoffe verwendet,</w:t>
      </w:r>
      <w:r>
        <w:rPr>
          <w:sz w:val="21"/>
          <w:szCs w:val="21"/>
        </w:rPr>
        <w:t xml:space="preserve"> 40 Prozent</w:t>
      </w:r>
      <w:r w:rsidRPr="00D71725">
        <w:rPr>
          <w:sz w:val="21"/>
          <w:szCs w:val="21"/>
        </w:rPr>
        <w:t xml:space="preserve"> der Kunststoffe und 50 </w:t>
      </w:r>
      <w:r>
        <w:rPr>
          <w:sz w:val="21"/>
          <w:szCs w:val="21"/>
        </w:rPr>
        <w:t>Prozent</w:t>
      </w:r>
      <w:r w:rsidRPr="00D71725">
        <w:rPr>
          <w:sz w:val="21"/>
          <w:szCs w:val="21"/>
        </w:rPr>
        <w:t xml:space="preserve"> des Papiers in der EU </w:t>
      </w:r>
      <w:r w:rsidR="00CA7324">
        <w:rPr>
          <w:sz w:val="21"/>
          <w:szCs w:val="21"/>
        </w:rPr>
        <w:t xml:space="preserve">sind </w:t>
      </w:r>
      <w:r w:rsidR="00D944BC">
        <w:rPr>
          <w:sz w:val="21"/>
          <w:szCs w:val="21"/>
        </w:rPr>
        <w:t xml:space="preserve">dafür </w:t>
      </w:r>
      <w:r w:rsidRPr="00D71725">
        <w:rPr>
          <w:sz w:val="21"/>
          <w:szCs w:val="21"/>
        </w:rPr>
        <w:t xml:space="preserve">bestimmt. Wenn nicht gehandelt würde, käme es </w:t>
      </w:r>
      <w:r>
        <w:rPr>
          <w:sz w:val="21"/>
          <w:szCs w:val="21"/>
        </w:rPr>
        <w:t xml:space="preserve">laut Kommission </w:t>
      </w:r>
      <w:r w:rsidRPr="00D71725">
        <w:rPr>
          <w:sz w:val="21"/>
          <w:szCs w:val="21"/>
        </w:rPr>
        <w:t>in der EU bis 2030 zu einem weiteren Anstie</w:t>
      </w:r>
      <w:r>
        <w:rPr>
          <w:sz w:val="21"/>
          <w:szCs w:val="21"/>
        </w:rPr>
        <w:t>g der Verpackungsabfälle um 19 Prozent,</w:t>
      </w:r>
      <w:r w:rsidRPr="00D71725">
        <w:rPr>
          <w:sz w:val="21"/>
          <w:szCs w:val="21"/>
        </w:rPr>
        <w:t xml:space="preserve"> bei Verpackungsabfällen aus Kunststoff sogar um 46 </w:t>
      </w:r>
      <w:r>
        <w:rPr>
          <w:sz w:val="21"/>
          <w:szCs w:val="21"/>
        </w:rPr>
        <w:t>Prozent</w:t>
      </w:r>
      <w:r w:rsidRPr="00D71725">
        <w:rPr>
          <w:sz w:val="21"/>
          <w:szCs w:val="21"/>
        </w:rPr>
        <w:t>.</w:t>
      </w:r>
    </w:p>
    <w:p w:rsidR="004B06C7" w:rsidRPr="004B06C7" w:rsidRDefault="004B06C7" w:rsidP="00AB2B2E">
      <w:pPr>
        <w:spacing w:before="120" w:line="360" w:lineRule="auto"/>
        <w:ind w:right="-28"/>
        <w:jc w:val="both"/>
        <w:rPr>
          <w:sz w:val="21"/>
          <w:szCs w:val="21"/>
        </w:rPr>
      </w:pPr>
      <w:r w:rsidRPr="004B06C7">
        <w:rPr>
          <w:sz w:val="21"/>
          <w:szCs w:val="21"/>
        </w:rPr>
        <w:t>Bis 2030 würden laut EU-Kommission die vorgeschlagenen Maßnahmen</w:t>
      </w:r>
      <w:r w:rsidR="0079164F">
        <w:rPr>
          <w:sz w:val="21"/>
          <w:szCs w:val="21"/>
        </w:rPr>
        <w:t xml:space="preserve"> </w:t>
      </w:r>
      <w:r w:rsidR="00D07E85" w:rsidRPr="00D07E85">
        <w:rPr>
          <w:sz w:val="21"/>
          <w:szCs w:val="21"/>
        </w:rPr>
        <w:t>–</w:t>
      </w:r>
      <w:r w:rsidR="0079164F">
        <w:rPr>
          <w:sz w:val="21"/>
          <w:szCs w:val="21"/>
        </w:rPr>
        <w:t xml:space="preserve"> hierzu gehören u.a. genormte und klar gekennzeichnete Verpackungsformate, Verbot unnötiger Verpackungen, vorgeschriebene Recyclinganteile und verbindliche Pfandsysteme </w:t>
      </w:r>
      <w:r w:rsidR="00D07E85" w:rsidRPr="00D07E85">
        <w:rPr>
          <w:sz w:val="21"/>
          <w:szCs w:val="21"/>
        </w:rPr>
        <w:t>–</w:t>
      </w:r>
      <w:r w:rsidRPr="004B06C7">
        <w:rPr>
          <w:sz w:val="21"/>
          <w:szCs w:val="21"/>
        </w:rPr>
        <w:t xml:space="preserve"> zu einer Verringerung der Treibhausgasemissionen aus Verpackungen</w:t>
      </w:r>
      <w:r w:rsidR="0079164F">
        <w:rPr>
          <w:sz w:val="21"/>
          <w:szCs w:val="21"/>
        </w:rPr>
        <w:t xml:space="preserve"> um 23 Mio. Tonnen</w:t>
      </w:r>
      <w:r w:rsidRPr="004B06C7">
        <w:rPr>
          <w:sz w:val="21"/>
          <w:szCs w:val="21"/>
        </w:rPr>
        <w:t xml:space="preserve"> auf </w:t>
      </w:r>
      <w:r w:rsidR="0079164F">
        <w:rPr>
          <w:sz w:val="21"/>
          <w:szCs w:val="21"/>
        </w:rPr>
        <w:t xml:space="preserve">insgesamt </w:t>
      </w:r>
      <w:r w:rsidRPr="004B06C7">
        <w:rPr>
          <w:sz w:val="21"/>
          <w:szCs w:val="21"/>
        </w:rPr>
        <w:t>43 Mio. Tonnen führen. Der Wasserverbrauch würde um 1,1</w:t>
      </w:r>
      <w:r w:rsidR="00D944BC">
        <w:rPr>
          <w:sz w:val="21"/>
          <w:szCs w:val="21"/>
        </w:rPr>
        <w:t> </w:t>
      </w:r>
      <w:r w:rsidRPr="004B06C7">
        <w:rPr>
          <w:sz w:val="21"/>
          <w:szCs w:val="21"/>
        </w:rPr>
        <w:t xml:space="preserve">Mio. </w:t>
      </w:r>
      <w:r w:rsidR="00D944BC">
        <w:rPr>
          <w:sz w:val="21"/>
          <w:szCs w:val="21"/>
        </w:rPr>
        <w:t>Kubikmeter</w:t>
      </w:r>
      <w:r w:rsidRPr="004B06C7">
        <w:rPr>
          <w:sz w:val="21"/>
          <w:szCs w:val="21"/>
        </w:rPr>
        <w:t xml:space="preserve"> zurückgehen</w:t>
      </w:r>
      <w:r w:rsidR="00D07E85">
        <w:rPr>
          <w:sz w:val="21"/>
          <w:szCs w:val="21"/>
        </w:rPr>
        <w:t xml:space="preserve"> und d</w:t>
      </w:r>
      <w:r w:rsidRPr="004B06C7">
        <w:rPr>
          <w:sz w:val="21"/>
          <w:szCs w:val="21"/>
        </w:rPr>
        <w:t xml:space="preserve">ie Kosten der Umweltverschmutzung für Wirtschaft und Gesellschaft würden gegenüber dem </w:t>
      </w:r>
      <w:r w:rsidR="00D944BC">
        <w:rPr>
          <w:sz w:val="21"/>
          <w:szCs w:val="21"/>
        </w:rPr>
        <w:t>Basisszenario 2030 um 6,4 Mrd. Euro</w:t>
      </w:r>
      <w:r w:rsidRPr="004B06C7">
        <w:rPr>
          <w:sz w:val="21"/>
          <w:szCs w:val="21"/>
        </w:rPr>
        <w:t xml:space="preserve"> gesenkt.</w:t>
      </w:r>
    </w:p>
    <w:p w:rsidR="004B06C7" w:rsidRPr="004B06C7" w:rsidRDefault="004B06C7" w:rsidP="00AB2B2E">
      <w:pPr>
        <w:spacing w:before="120" w:line="360" w:lineRule="auto"/>
        <w:ind w:right="-28"/>
        <w:jc w:val="both"/>
        <w:rPr>
          <w:sz w:val="21"/>
          <w:szCs w:val="21"/>
        </w:rPr>
      </w:pPr>
      <w:r w:rsidRPr="004B06C7">
        <w:rPr>
          <w:sz w:val="21"/>
          <w:szCs w:val="21"/>
        </w:rPr>
        <w:t>Der Vorschlag soll zudem der Verwirrung ein Ende setzen, welche Verpackung in welchen Recyclingbehälter gehört. Jede Verpackung wird laut EU Kommission mit einem Etikett versehen, aus dem hervorgeht, woraus sie gemacht ist u</w:t>
      </w:r>
      <w:r w:rsidR="00D07E85">
        <w:rPr>
          <w:sz w:val="21"/>
          <w:szCs w:val="21"/>
        </w:rPr>
        <w:t>nd in welchen Abfallbehälter diese</w:t>
      </w:r>
      <w:r w:rsidRPr="004B06C7">
        <w:rPr>
          <w:sz w:val="21"/>
          <w:szCs w:val="21"/>
        </w:rPr>
        <w:t xml:space="preserve"> gehört. Überall in der EU werden dieselben Symbole verwendet.</w:t>
      </w:r>
    </w:p>
    <w:p w:rsidR="00F71684" w:rsidRDefault="004B06C7" w:rsidP="00AB2B2E">
      <w:pPr>
        <w:spacing w:before="120" w:line="360" w:lineRule="auto"/>
        <w:ind w:right="-28"/>
        <w:jc w:val="both"/>
        <w:rPr>
          <w:sz w:val="21"/>
          <w:szCs w:val="21"/>
        </w:rPr>
      </w:pPr>
      <w:r w:rsidRPr="004B06C7">
        <w:rPr>
          <w:sz w:val="21"/>
          <w:szCs w:val="21"/>
        </w:rPr>
        <w:t>Christian Haeser</w:t>
      </w:r>
      <w:r w:rsidR="00D944BC">
        <w:rPr>
          <w:sz w:val="21"/>
          <w:szCs w:val="21"/>
        </w:rPr>
        <w:t>, Geschäftsführer des Handelsverbands Wohnen und Büro e.V. (HWB),</w:t>
      </w:r>
      <w:r w:rsidRPr="004B06C7">
        <w:rPr>
          <w:sz w:val="21"/>
          <w:szCs w:val="21"/>
        </w:rPr>
        <w:t xml:space="preserve"> dazu: „Es ist richtig und gut, dass der europäische Gesetzgeber den Green Deal umsetzt und auch im Bereich der Verpackungsreduzierungen agiert. Wiederverwertbare</w:t>
      </w:r>
      <w:r w:rsidR="00D07E85">
        <w:rPr>
          <w:sz w:val="21"/>
          <w:szCs w:val="21"/>
        </w:rPr>
        <w:t>, umweltfreundliche</w:t>
      </w:r>
      <w:r w:rsidRPr="004B06C7">
        <w:rPr>
          <w:sz w:val="21"/>
          <w:szCs w:val="21"/>
        </w:rPr>
        <w:t xml:space="preserve"> Verpackungen sind </w:t>
      </w:r>
      <w:r w:rsidR="00D71725">
        <w:rPr>
          <w:sz w:val="21"/>
          <w:szCs w:val="21"/>
        </w:rPr>
        <w:t xml:space="preserve">natürlich auch </w:t>
      </w:r>
      <w:r w:rsidRPr="004B06C7">
        <w:rPr>
          <w:sz w:val="21"/>
          <w:szCs w:val="21"/>
        </w:rPr>
        <w:t xml:space="preserve">im Home- und </w:t>
      </w:r>
      <w:proofErr w:type="spellStart"/>
      <w:r w:rsidRPr="004B06C7">
        <w:rPr>
          <w:sz w:val="21"/>
          <w:szCs w:val="21"/>
        </w:rPr>
        <w:t>Livingbereich</w:t>
      </w:r>
      <w:proofErr w:type="spellEnd"/>
      <w:r w:rsidRPr="004B06C7">
        <w:rPr>
          <w:sz w:val="21"/>
          <w:szCs w:val="21"/>
        </w:rPr>
        <w:t xml:space="preserve"> anzustreben. Die Ausführungen der Kommission dürfen aber </w:t>
      </w:r>
      <w:r w:rsidR="00D07E85">
        <w:rPr>
          <w:sz w:val="21"/>
          <w:szCs w:val="21"/>
        </w:rPr>
        <w:t>auf keinen Fall</w:t>
      </w:r>
      <w:r w:rsidRPr="004B06C7">
        <w:rPr>
          <w:sz w:val="21"/>
          <w:szCs w:val="21"/>
        </w:rPr>
        <w:t xml:space="preserve"> dazu führen, dass</w:t>
      </w:r>
      <w:r w:rsidR="00DD595E">
        <w:rPr>
          <w:sz w:val="21"/>
          <w:szCs w:val="21"/>
        </w:rPr>
        <w:t xml:space="preserve"> Unternehmen</w:t>
      </w:r>
      <w:r w:rsidRPr="004B06C7">
        <w:rPr>
          <w:sz w:val="21"/>
          <w:szCs w:val="21"/>
        </w:rPr>
        <w:t xml:space="preserve"> im Wege der Transformation zusätzliche administrative Belastungen aufgebürdet bekommen</w:t>
      </w:r>
      <w:r w:rsidR="00DD595E">
        <w:rPr>
          <w:sz w:val="21"/>
          <w:szCs w:val="21"/>
        </w:rPr>
        <w:t xml:space="preserve">. Dies führt zu einer </w:t>
      </w:r>
      <w:r w:rsidRPr="004B06C7">
        <w:rPr>
          <w:sz w:val="21"/>
          <w:szCs w:val="21"/>
        </w:rPr>
        <w:t>Kosten</w:t>
      </w:r>
      <w:r w:rsidR="00DD595E">
        <w:rPr>
          <w:sz w:val="21"/>
          <w:szCs w:val="21"/>
        </w:rPr>
        <w:t xml:space="preserve">verschärfung, die am Ende des </w:t>
      </w:r>
      <w:r w:rsidR="00DD595E">
        <w:rPr>
          <w:sz w:val="21"/>
          <w:szCs w:val="21"/>
        </w:rPr>
        <w:lastRenderedPageBreak/>
        <w:t>Tages die ohnehin gebeutelten Konsumenten zu tragen haben</w:t>
      </w:r>
      <w:r w:rsidRPr="004B06C7">
        <w:rPr>
          <w:sz w:val="21"/>
          <w:szCs w:val="21"/>
        </w:rPr>
        <w:t xml:space="preserve">. </w:t>
      </w:r>
      <w:r w:rsidR="00D07E85">
        <w:rPr>
          <w:sz w:val="21"/>
          <w:szCs w:val="21"/>
        </w:rPr>
        <w:t xml:space="preserve">Des Weiteren </w:t>
      </w:r>
      <w:r w:rsidR="000549CF">
        <w:rPr>
          <w:sz w:val="21"/>
          <w:szCs w:val="21"/>
        </w:rPr>
        <w:t>muss</w:t>
      </w:r>
      <w:r w:rsidR="00D07E85">
        <w:rPr>
          <w:sz w:val="21"/>
          <w:szCs w:val="21"/>
        </w:rPr>
        <w:t xml:space="preserve"> ein Augenmerk auf eine realistische und praxisnahe U</w:t>
      </w:r>
      <w:r w:rsidR="00D944BC">
        <w:rPr>
          <w:sz w:val="21"/>
          <w:szCs w:val="21"/>
        </w:rPr>
        <w:t>msetzung gelegt werden, da der Fachh</w:t>
      </w:r>
      <w:r w:rsidR="00D07E85">
        <w:rPr>
          <w:sz w:val="21"/>
          <w:szCs w:val="21"/>
        </w:rPr>
        <w:t xml:space="preserve">andel in all seinen Facetten extrem heterogen ist. Es gibt keine Pauschallösung, so gut </w:t>
      </w:r>
      <w:r w:rsidRPr="004B06C7">
        <w:rPr>
          <w:sz w:val="21"/>
          <w:szCs w:val="21"/>
        </w:rPr>
        <w:t>die Zielsetzung</w:t>
      </w:r>
      <w:r w:rsidR="00DD595E">
        <w:rPr>
          <w:sz w:val="21"/>
          <w:szCs w:val="21"/>
        </w:rPr>
        <w:t xml:space="preserve"> auch sein mag</w:t>
      </w:r>
      <w:r w:rsidR="00D07E85">
        <w:rPr>
          <w:sz w:val="21"/>
          <w:szCs w:val="21"/>
        </w:rPr>
        <w:t>!</w:t>
      </w:r>
      <w:r w:rsidRPr="004B06C7">
        <w:rPr>
          <w:sz w:val="21"/>
          <w:szCs w:val="21"/>
        </w:rPr>
        <w:t>“</w:t>
      </w:r>
    </w:p>
    <w:p w:rsidR="00F71684" w:rsidRDefault="00F71684" w:rsidP="00AB2B2E">
      <w:pPr>
        <w:spacing w:before="120" w:line="360" w:lineRule="auto"/>
        <w:ind w:right="-28"/>
        <w:jc w:val="both"/>
        <w:rPr>
          <w:sz w:val="21"/>
          <w:szCs w:val="21"/>
        </w:rPr>
      </w:pPr>
    </w:p>
    <w:p w:rsidR="00F71684" w:rsidRPr="00F71684" w:rsidRDefault="00F71684" w:rsidP="00AB2B2E">
      <w:pPr>
        <w:spacing w:before="120" w:line="240" w:lineRule="exact"/>
        <w:ind w:right="-28"/>
        <w:jc w:val="both"/>
        <w:rPr>
          <w:sz w:val="18"/>
          <w:szCs w:val="18"/>
        </w:rPr>
      </w:pPr>
      <w:r w:rsidRPr="00F71684">
        <w:rPr>
          <w:sz w:val="18"/>
          <w:szCs w:val="18"/>
        </w:rPr>
        <w:t>Fotos und weitere Downloads stehen auf der Website www.</w:t>
      </w:r>
      <w:r w:rsidR="004B06C7">
        <w:rPr>
          <w:sz w:val="18"/>
          <w:szCs w:val="18"/>
        </w:rPr>
        <w:t>hwb.online</w:t>
      </w:r>
      <w:r w:rsidRPr="00F71684">
        <w:rPr>
          <w:sz w:val="18"/>
          <w:szCs w:val="18"/>
        </w:rPr>
        <w:t xml:space="preserve"> bereit.</w:t>
      </w:r>
    </w:p>
    <w:p w:rsidR="00CD670C" w:rsidRPr="00CD670C" w:rsidRDefault="00CD670C" w:rsidP="00AB2B2E">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AB2B2E">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AB2B2E">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C7" w:rsidRDefault="004B06C7">
      <w:r>
        <w:separator/>
      </w:r>
    </w:p>
  </w:endnote>
  <w:endnote w:type="continuationSeparator" w:id="0">
    <w:p w:rsidR="004B06C7" w:rsidRDefault="004B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C7" w:rsidRDefault="004B06C7">
      <w:r>
        <w:separator/>
      </w:r>
    </w:p>
  </w:footnote>
  <w:footnote w:type="continuationSeparator" w:id="0">
    <w:p w:rsidR="004B06C7" w:rsidRDefault="004B0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ED72E6">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C7"/>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49CF"/>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B06C7"/>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164F"/>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B2E"/>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A7324"/>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07E85"/>
    <w:rsid w:val="00D11BE6"/>
    <w:rsid w:val="00D2178E"/>
    <w:rsid w:val="00D23C5A"/>
    <w:rsid w:val="00D23D43"/>
    <w:rsid w:val="00D26828"/>
    <w:rsid w:val="00D32BC6"/>
    <w:rsid w:val="00D37D34"/>
    <w:rsid w:val="00D47304"/>
    <w:rsid w:val="00D54D54"/>
    <w:rsid w:val="00D636AF"/>
    <w:rsid w:val="00D70513"/>
    <w:rsid w:val="00D71725"/>
    <w:rsid w:val="00D71F14"/>
    <w:rsid w:val="00D741AF"/>
    <w:rsid w:val="00D85355"/>
    <w:rsid w:val="00D859D7"/>
    <w:rsid w:val="00D91511"/>
    <w:rsid w:val="00D93EA8"/>
    <w:rsid w:val="00D944BC"/>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595E"/>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D72E6"/>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2EE58C"/>
  <w15:docId w15:val="{1E8D64A0-5C0E-420D-B6E9-752015B5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261A-25FE-43C0-8F9F-FA9645A4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436</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2022-12-01T12:09:00Z</cp:lastPrinted>
  <dcterms:created xsi:type="dcterms:W3CDTF">2022-12-01T10:21:00Z</dcterms:created>
  <dcterms:modified xsi:type="dcterms:W3CDTF">2022-12-01T12:16:00Z</dcterms:modified>
  <cp:contentStatus/>
</cp:coreProperties>
</file>